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8CC" w:rsidRPr="006D1678" w:rsidRDefault="00CB4F8A" w:rsidP="00CB4F8A">
      <w:pPr>
        <w:jc w:val="center"/>
        <w:rPr>
          <w:rFonts w:cs="Arial"/>
          <w:b/>
          <w:i/>
          <w:sz w:val="28"/>
          <w:szCs w:val="28"/>
        </w:rPr>
      </w:pPr>
      <w:r w:rsidRPr="006D1678">
        <w:rPr>
          <w:rFonts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741E4" wp14:editId="4C579887">
                <wp:simplePos x="0" y="0"/>
                <wp:positionH relativeFrom="column">
                  <wp:posOffset>3752215</wp:posOffset>
                </wp:positionH>
                <wp:positionV relativeFrom="paragraph">
                  <wp:posOffset>-309245</wp:posOffset>
                </wp:positionV>
                <wp:extent cx="1276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94BC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45pt,-24.35pt" to="395.95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" strokecolor="black [3040]"/>
            </w:pict>
          </mc:Fallback>
        </mc:AlternateContent>
      </w:r>
      <w:r w:rsidRPr="006D1678">
        <w:rPr>
          <w:rFonts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33E92" wp14:editId="61044479">
                <wp:simplePos x="0" y="0"/>
                <wp:positionH relativeFrom="column">
                  <wp:posOffset>542925</wp:posOffset>
                </wp:positionH>
                <wp:positionV relativeFrom="paragraph">
                  <wp:posOffset>-277234</wp:posOffset>
                </wp:positionV>
                <wp:extent cx="1295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10AEE" id="Straight Connector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-21.85pt" to="144.75pt,-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" strokecolor="black [3040]"/>
            </w:pict>
          </mc:Fallback>
        </mc:AlternateContent>
      </w:r>
      <w:r w:rsidRPr="006D1678">
        <w:rPr>
          <w:rFonts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3C333" wp14:editId="2024754A">
                <wp:simplePos x="0" y="0"/>
                <wp:positionH relativeFrom="column">
                  <wp:posOffset>1831788</wp:posOffset>
                </wp:positionH>
                <wp:positionV relativeFrom="paragraph">
                  <wp:posOffset>-552562</wp:posOffset>
                </wp:positionV>
                <wp:extent cx="1914525" cy="447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AA2" w:rsidRPr="00A11317" w:rsidRDefault="00FD4AA2" w:rsidP="00FD4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1131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Communiqu</w:t>
                            </w:r>
                            <w:r w:rsidR="003C1F2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é</w:t>
                            </w:r>
                          </w:p>
                          <w:p w:rsidR="00FD4AA2" w:rsidRDefault="00FD4AA2" w:rsidP="00FD4A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3C3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25pt;margin-top:-43.5pt;width:150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">
                <v:textbox>
                  <w:txbxContent>
                    <w:p w:rsidR="00FD4AA2" w:rsidRPr="00A11317" w:rsidRDefault="00FD4AA2" w:rsidP="00FD4AA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1131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Communiqu</w:t>
                      </w:r>
                      <w:r w:rsidR="003C1F2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é</w:t>
                      </w:r>
                    </w:p>
                    <w:p w:rsidR="00FD4AA2" w:rsidRDefault="00FD4AA2" w:rsidP="00FD4A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D0CC0" w:rsidRPr="006D1678">
        <w:rPr>
          <w:rFonts w:cs="Arial"/>
          <w:b/>
          <w:i/>
          <w:sz w:val="28"/>
          <w:szCs w:val="28"/>
        </w:rPr>
        <w:t>DIABETES across the LIFECOURSE: Northern Australia Partnership</w:t>
      </w:r>
    </w:p>
    <w:p w:rsidR="00FD4AA2" w:rsidRPr="006D1678" w:rsidRDefault="00FD4AA2" w:rsidP="00FD4AA2">
      <w:pPr>
        <w:jc w:val="center"/>
        <w:rPr>
          <w:rFonts w:cs="Arial"/>
          <w:b/>
          <w:color w:val="D9541E"/>
        </w:rPr>
      </w:pPr>
      <w:r w:rsidRPr="006D1678">
        <w:rPr>
          <w:rFonts w:cs="Arial"/>
          <w:b/>
          <w:color w:val="D9541E"/>
        </w:rPr>
        <w:t>Annual Investigator, Clinical Reference Group and Indigenous Reference Group meetings</w:t>
      </w:r>
    </w:p>
    <w:p w:rsidR="00FD4AA2" w:rsidRPr="006D1678" w:rsidRDefault="00FD4AA2" w:rsidP="003C1F2F">
      <w:pPr>
        <w:spacing w:line="360" w:lineRule="auto"/>
        <w:jc w:val="center"/>
        <w:rPr>
          <w:rFonts w:cs="Arial"/>
          <w:i/>
          <w:sz w:val="20"/>
          <w:szCs w:val="20"/>
        </w:rPr>
      </w:pPr>
      <w:r w:rsidRPr="006D1678">
        <w:rPr>
          <w:rFonts w:cs="Arial"/>
          <w:i/>
          <w:sz w:val="20"/>
          <w:szCs w:val="20"/>
        </w:rPr>
        <w:t xml:space="preserve">Darwin, </w:t>
      </w:r>
      <w:r w:rsidR="001D0CC0" w:rsidRPr="006D1678">
        <w:rPr>
          <w:rFonts w:cs="Arial"/>
          <w:i/>
          <w:sz w:val="20"/>
          <w:szCs w:val="20"/>
        </w:rPr>
        <w:t>25</w:t>
      </w:r>
      <w:r w:rsidR="001D0CC0" w:rsidRPr="006D1678">
        <w:rPr>
          <w:rFonts w:cs="Arial"/>
          <w:i/>
          <w:sz w:val="20"/>
          <w:szCs w:val="20"/>
          <w:vertAlign w:val="superscript"/>
        </w:rPr>
        <w:t>th</w:t>
      </w:r>
      <w:r w:rsidR="001D0CC0" w:rsidRPr="006D1678">
        <w:rPr>
          <w:rFonts w:cs="Arial"/>
          <w:i/>
          <w:sz w:val="20"/>
          <w:szCs w:val="20"/>
        </w:rPr>
        <w:t xml:space="preserve"> to 27</w:t>
      </w:r>
      <w:r w:rsidR="001D0CC0" w:rsidRPr="006D1678">
        <w:rPr>
          <w:rFonts w:cs="Arial"/>
          <w:i/>
          <w:sz w:val="20"/>
          <w:szCs w:val="20"/>
          <w:vertAlign w:val="superscript"/>
        </w:rPr>
        <w:t>th</w:t>
      </w:r>
      <w:r w:rsidR="001D0CC0" w:rsidRPr="006D1678">
        <w:rPr>
          <w:rFonts w:cs="Arial"/>
          <w:i/>
          <w:sz w:val="20"/>
          <w:szCs w:val="20"/>
        </w:rPr>
        <w:t xml:space="preserve"> September</w:t>
      </w:r>
      <w:r w:rsidRPr="006D1678">
        <w:rPr>
          <w:rFonts w:cs="Arial"/>
          <w:i/>
          <w:sz w:val="20"/>
          <w:szCs w:val="20"/>
        </w:rPr>
        <w:t xml:space="preserve"> 201</w:t>
      </w:r>
      <w:r w:rsidR="001D0CC0" w:rsidRPr="006D1678">
        <w:rPr>
          <w:rFonts w:cs="Arial"/>
          <w:i/>
          <w:sz w:val="20"/>
          <w:szCs w:val="20"/>
        </w:rPr>
        <w:t>9</w:t>
      </w:r>
    </w:p>
    <w:p w:rsidR="001745ED" w:rsidRPr="006D1678" w:rsidRDefault="001745ED" w:rsidP="003007FA">
      <w:pPr>
        <w:tabs>
          <w:tab w:val="left" w:pos="4395"/>
        </w:tabs>
        <w:spacing w:after="0" w:line="240" w:lineRule="auto"/>
        <w:ind w:left="3"/>
        <w:rPr>
          <w:rFonts w:cs="Arial"/>
          <w:sz w:val="20"/>
          <w:szCs w:val="20"/>
        </w:rPr>
      </w:pPr>
      <w:r w:rsidRPr="006D1678">
        <w:rPr>
          <w:rFonts w:cs="Arial"/>
          <w:sz w:val="20"/>
          <w:szCs w:val="20"/>
        </w:rPr>
        <w:t xml:space="preserve">The Partnership </w:t>
      </w:r>
      <w:r w:rsidR="00342C14" w:rsidRPr="006D1678">
        <w:rPr>
          <w:rFonts w:cs="Arial"/>
          <w:sz w:val="20"/>
          <w:szCs w:val="20"/>
        </w:rPr>
        <w:t>takes</w:t>
      </w:r>
      <w:r w:rsidRPr="006D1678">
        <w:rPr>
          <w:rFonts w:cs="Arial"/>
          <w:sz w:val="20"/>
          <w:szCs w:val="20"/>
        </w:rPr>
        <w:t xml:space="preserve"> a </w:t>
      </w:r>
      <w:proofErr w:type="spellStart"/>
      <w:r w:rsidRPr="006D1678">
        <w:rPr>
          <w:rFonts w:cs="Arial"/>
          <w:sz w:val="20"/>
          <w:szCs w:val="20"/>
        </w:rPr>
        <w:t>lifecourse</w:t>
      </w:r>
      <w:proofErr w:type="spellEnd"/>
      <w:r w:rsidRPr="006D1678">
        <w:rPr>
          <w:rFonts w:cs="Arial"/>
          <w:sz w:val="20"/>
          <w:szCs w:val="20"/>
        </w:rPr>
        <w:t xml:space="preserve"> approach to the management and prevention of </w:t>
      </w:r>
      <w:r w:rsidR="00342C14" w:rsidRPr="006D1678">
        <w:rPr>
          <w:rFonts w:cs="Arial"/>
          <w:sz w:val="20"/>
          <w:szCs w:val="20"/>
        </w:rPr>
        <w:t xml:space="preserve">diabetes and related conditions, </w:t>
      </w:r>
      <w:r w:rsidR="00F748CF">
        <w:rPr>
          <w:rFonts w:cs="Arial"/>
          <w:sz w:val="20"/>
          <w:szCs w:val="20"/>
        </w:rPr>
        <w:t>including</w:t>
      </w:r>
      <w:r w:rsidR="00342C14" w:rsidRPr="006D1678">
        <w:rPr>
          <w:rFonts w:cs="Arial"/>
          <w:sz w:val="20"/>
          <w:szCs w:val="20"/>
        </w:rPr>
        <w:t xml:space="preserve"> better understanding and preventing intergenerational diabetes.</w:t>
      </w:r>
    </w:p>
    <w:p w:rsidR="003E4FDD" w:rsidRPr="006D1678" w:rsidRDefault="003E4FDD" w:rsidP="003007FA">
      <w:pPr>
        <w:tabs>
          <w:tab w:val="left" w:pos="4253"/>
          <w:tab w:val="left" w:pos="4395"/>
        </w:tabs>
        <w:spacing w:after="0" w:line="240" w:lineRule="auto"/>
        <w:rPr>
          <w:rFonts w:cs="Arial"/>
          <w:sz w:val="20"/>
          <w:szCs w:val="20"/>
        </w:rPr>
      </w:pPr>
    </w:p>
    <w:p w:rsidR="001745ED" w:rsidRPr="006D1678" w:rsidRDefault="00FD4AA2" w:rsidP="003007FA">
      <w:pPr>
        <w:tabs>
          <w:tab w:val="left" w:pos="4253"/>
          <w:tab w:val="left" w:pos="4395"/>
        </w:tabs>
        <w:spacing w:after="0" w:line="240" w:lineRule="auto"/>
        <w:rPr>
          <w:rFonts w:cs="Arial"/>
          <w:sz w:val="20"/>
          <w:szCs w:val="20"/>
        </w:rPr>
      </w:pPr>
      <w:r w:rsidRPr="006D1678">
        <w:rPr>
          <w:rFonts w:cs="Arial"/>
          <w:sz w:val="20"/>
          <w:szCs w:val="20"/>
        </w:rPr>
        <w:t xml:space="preserve">The Partnership’s annual Investigator meeting, as well as Clinical Reference Group and Indigenous Reference Group meetings were held in Darwin, </w:t>
      </w:r>
      <w:r w:rsidR="001D0CC0" w:rsidRPr="006D1678">
        <w:rPr>
          <w:rFonts w:cs="Arial"/>
          <w:sz w:val="20"/>
          <w:szCs w:val="20"/>
        </w:rPr>
        <w:t>September 2019</w:t>
      </w:r>
      <w:r w:rsidRPr="006D1678">
        <w:rPr>
          <w:rFonts w:cs="Arial"/>
          <w:sz w:val="20"/>
          <w:szCs w:val="20"/>
        </w:rPr>
        <w:t xml:space="preserve">.  </w:t>
      </w:r>
      <w:r w:rsidR="001745ED" w:rsidRPr="006D1678">
        <w:rPr>
          <w:rFonts w:cs="Arial"/>
          <w:sz w:val="20"/>
          <w:szCs w:val="20"/>
        </w:rPr>
        <w:t>Three o</w:t>
      </w:r>
      <w:r w:rsidRPr="006D1678">
        <w:rPr>
          <w:rFonts w:cs="Arial"/>
          <w:sz w:val="20"/>
          <w:szCs w:val="20"/>
        </w:rPr>
        <w:t>verarching priorities regarding the future direction of the Partnership were agreed.</w:t>
      </w:r>
    </w:p>
    <w:p w:rsidR="003E4FDD" w:rsidRPr="006D1678" w:rsidRDefault="003E4FDD" w:rsidP="003007FA">
      <w:pPr>
        <w:tabs>
          <w:tab w:val="left" w:pos="4253"/>
          <w:tab w:val="left" w:pos="4395"/>
        </w:tabs>
        <w:spacing w:after="0" w:line="240" w:lineRule="auto"/>
        <w:rPr>
          <w:rFonts w:cs="Arial"/>
          <w:sz w:val="20"/>
          <w:szCs w:val="20"/>
        </w:rPr>
      </w:pPr>
    </w:p>
    <w:p w:rsidR="00FD4AA2" w:rsidRPr="006D1678" w:rsidRDefault="00C93770" w:rsidP="003007FA">
      <w:pPr>
        <w:spacing w:after="0" w:line="240" w:lineRule="auto"/>
        <w:rPr>
          <w:rFonts w:cs="Arial"/>
          <w:b/>
          <w:sz w:val="20"/>
          <w:szCs w:val="20"/>
        </w:rPr>
      </w:pPr>
      <w:r w:rsidRPr="006D1678">
        <w:rPr>
          <w:rFonts w:cs="Arial"/>
          <w:b/>
          <w:sz w:val="20"/>
          <w:szCs w:val="20"/>
        </w:rPr>
        <w:t xml:space="preserve">Priority 1: </w:t>
      </w:r>
      <w:r w:rsidR="00FD4AA2" w:rsidRPr="006D1678">
        <w:rPr>
          <w:rFonts w:cs="Arial"/>
          <w:b/>
          <w:sz w:val="20"/>
          <w:szCs w:val="20"/>
        </w:rPr>
        <w:t>Preconception care and postpartum follow-up</w:t>
      </w:r>
    </w:p>
    <w:p w:rsidR="001745ED" w:rsidRPr="006D1678" w:rsidRDefault="00783AC3" w:rsidP="003007F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20"/>
          <w:szCs w:val="20"/>
        </w:rPr>
      </w:pPr>
      <w:r w:rsidRPr="006D1678">
        <w:rPr>
          <w:rFonts w:cs="Arial"/>
          <w:sz w:val="20"/>
          <w:szCs w:val="20"/>
        </w:rPr>
        <w:t>Dissemination</w:t>
      </w:r>
      <w:r w:rsidR="00273BAD" w:rsidRPr="006D1678">
        <w:rPr>
          <w:rFonts w:cs="Arial"/>
          <w:sz w:val="20"/>
          <w:szCs w:val="20"/>
        </w:rPr>
        <w:t xml:space="preserve"> and promotion</w:t>
      </w:r>
      <w:r w:rsidRPr="006D1678">
        <w:rPr>
          <w:rFonts w:cs="Arial"/>
          <w:sz w:val="20"/>
          <w:szCs w:val="20"/>
        </w:rPr>
        <w:t xml:space="preserve"> of the </w:t>
      </w:r>
      <w:r w:rsidR="003D71A6">
        <w:rPr>
          <w:rFonts w:cs="Arial"/>
          <w:sz w:val="20"/>
          <w:szCs w:val="20"/>
        </w:rPr>
        <w:t xml:space="preserve">postpartum </w:t>
      </w:r>
      <w:r w:rsidR="00273BAD" w:rsidRPr="006D1678">
        <w:rPr>
          <w:rFonts w:cs="Arial"/>
          <w:sz w:val="20"/>
          <w:szCs w:val="20"/>
        </w:rPr>
        <w:t xml:space="preserve">Key 5 resources to project champions, key stakeholders and the wider community </w:t>
      </w:r>
      <w:r w:rsidR="00CB7ADF" w:rsidRPr="006D1678">
        <w:rPr>
          <w:rFonts w:cs="Arial"/>
          <w:sz w:val="20"/>
          <w:szCs w:val="20"/>
        </w:rPr>
        <w:t>as well as</w:t>
      </w:r>
      <w:r w:rsidR="001745ED" w:rsidRPr="006D1678">
        <w:rPr>
          <w:rFonts w:cs="Arial"/>
          <w:sz w:val="20"/>
          <w:szCs w:val="20"/>
        </w:rPr>
        <w:t xml:space="preserve"> consideration of additional interactive resources</w:t>
      </w:r>
      <w:r w:rsidR="004C734F" w:rsidRPr="006D1678">
        <w:rPr>
          <w:rFonts w:cs="Arial"/>
          <w:sz w:val="20"/>
          <w:szCs w:val="20"/>
        </w:rPr>
        <w:t>;</w:t>
      </w:r>
      <w:r w:rsidR="001745ED" w:rsidRPr="006D1678">
        <w:rPr>
          <w:rFonts w:cs="Arial"/>
          <w:sz w:val="20"/>
          <w:szCs w:val="20"/>
        </w:rPr>
        <w:t xml:space="preserve"> </w:t>
      </w:r>
    </w:p>
    <w:p w:rsidR="00CB7ADF" w:rsidRPr="006D1678" w:rsidRDefault="00273BAD" w:rsidP="003007F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="Arial"/>
          <w:sz w:val="20"/>
          <w:szCs w:val="20"/>
        </w:rPr>
      </w:pPr>
      <w:r w:rsidRPr="006D1678">
        <w:rPr>
          <w:rFonts w:cs="Arial"/>
          <w:sz w:val="20"/>
          <w:szCs w:val="20"/>
        </w:rPr>
        <w:t>Planning for the sustainability of the</w:t>
      </w:r>
      <w:r w:rsidR="00C314A4" w:rsidRPr="006D1678">
        <w:rPr>
          <w:rFonts w:cs="Arial"/>
          <w:sz w:val="20"/>
          <w:szCs w:val="20"/>
        </w:rPr>
        <w:t xml:space="preserve"> </w:t>
      </w:r>
      <w:r w:rsidR="0043409A" w:rsidRPr="006D1678">
        <w:rPr>
          <w:rFonts w:cs="Arial"/>
          <w:sz w:val="20"/>
          <w:szCs w:val="20"/>
        </w:rPr>
        <w:t xml:space="preserve">NT and FNQ </w:t>
      </w:r>
      <w:r w:rsidR="00C314A4" w:rsidRPr="006D1678">
        <w:rPr>
          <w:rFonts w:cs="Arial"/>
          <w:sz w:val="20"/>
          <w:szCs w:val="20"/>
        </w:rPr>
        <w:t>Diabetes in Pregnancy</w:t>
      </w:r>
      <w:r w:rsidRPr="006D1678">
        <w:rPr>
          <w:rFonts w:cs="Arial"/>
          <w:sz w:val="20"/>
          <w:szCs w:val="20"/>
        </w:rPr>
        <w:t xml:space="preserve"> Clinical Register</w:t>
      </w:r>
      <w:r w:rsidR="0043409A" w:rsidRPr="006D1678">
        <w:rPr>
          <w:rFonts w:cs="Arial"/>
          <w:sz w:val="20"/>
          <w:szCs w:val="20"/>
        </w:rPr>
        <w:t>s</w:t>
      </w:r>
      <w:r w:rsidR="004C734F" w:rsidRPr="006D1678">
        <w:rPr>
          <w:rFonts w:cs="Arial"/>
          <w:sz w:val="20"/>
          <w:szCs w:val="20"/>
        </w:rPr>
        <w:t>;</w:t>
      </w:r>
      <w:r w:rsidRPr="006D1678">
        <w:rPr>
          <w:rFonts w:cs="Arial"/>
          <w:sz w:val="20"/>
          <w:szCs w:val="20"/>
        </w:rPr>
        <w:t xml:space="preserve"> </w:t>
      </w:r>
    </w:p>
    <w:p w:rsidR="00CB7ADF" w:rsidRPr="006D1678" w:rsidRDefault="00CB7ADF" w:rsidP="003007F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="Arial"/>
          <w:sz w:val="20"/>
          <w:szCs w:val="20"/>
        </w:rPr>
      </w:pPr>
      <w:r w:rsidRPr="006D1678">
        <w:rPr>
          <w:rFonts w:cs="Arial"/>
          <w:sz w:val="20"/>
          <w:szCs w:val="20"/>
        </w:rPr>
        <w:t>Continuing</w:t>
      </w:r>
      <w:r w:rsidR="00273BAD" w:rsidRPr="006D1678">
        <w:rPr>
          <w:rFonts w:cs="Arial"/>
          <w:sz w:val="20"/>
          <w:szCs w:val="20"/>
        </w:rPr>
        <w:t xml:space="preserve"> efforts to embed</w:t>
      </w:r>
      <w:r w:rsidRPr="006D1678">
        <w:rPr>
          <w:rFonts w:cs="Arial"/>
          <w:sz w:val="20"/>
          <w:szCs w:val="20"/>
        </w:rPr>
        <w:t xml:space="preserve"> best practice into existing systems.</w:t>
      </w:r>
    </w:p>
    <w:p w:rsidR="00273BAD" w:rsidRPr="006D1678" w:rsidRDefault="00273BAD" w:rsidP="003007FA">
      <w:pPr>
        <w:pStyle w:val="ListParagraph"/>
        <w:spacing w:after="0" w:line="240" w:lineRule="auto"/>
        <w:ind w:left="1077"/>
        <w:contextualSpacing w:val="0"/>
        <w:rPr>
          <w:rFonts w:cs="Arial"/>
          <w:sz w:val="20"/>
          <w:szCs w:val="20"/>
        </w:rPr>
      </w:pPr>
      <w:r w:rsidRPr="006D1678">
        <w:rPr>
          <w:rFonts w:cs="Arial"/>
          <w:sz w:val="20"/>
          <w:szCs w:val="20"/>
        </w:rPr>
        <w:t xml:space="preserve"> </w:t>
      </w:r>
    </w:p>
    <w:p w:rsidR="00FD4AA2" w:rsidRPr="006D1678" w:rsidRDefault="00C93770" w:rsidP="003007FA">
      <w:pPr>
        <w:spacing w:after="0" w:line="240" w:lineRule="auto"/>
        <w:rPr>
          <w:rFonts w:cs="Arial"/>
          <w:b/>
          <w:sz w:val="20"/>
          <w:szCs w:val="20"/>
        </w:rPr>
      </w:pPr>
      <w:r w:rsidRPr="006D1678">
        <w:rPr>
          <w:rFonts w:cs="Arial"/>
          <w:b/>
          <w:sz w:val="20"/>
          <w:szCs w:val="20"/>
        </w:rPr>
        <w:t xml:space="preserve">Priority 2: </w:t>
      </w:r>
      <w:r w:rsidR="00CD78ED" w:rsidRPr="006D1678">
        <w:rPr>
          <w:rFonts w:cs="Arial"/>
          <w:b/>
          <w:sz w:val="20"/>
          <w:szCs w:val="20"/>
        </w:rPr>
        <w:t>Prevention</w:t>
      </w:r>
      <w:r w:rsidR="00A77650" w:rsidRPr="006D1678">
        <w:rPr>
          <w:rFonts w:cs="Arial"/>
          <w:b/>
          <w:sz w:val="20"/>
          <w:szCs w:val="20"/>
        </w:rPr>
        <w:t xml:space="preserve"> </w:t>
      </w:r>
      <w:r w:rsidR="003D71A6">
        <w:rPr>
          <w:rFonts w:cs="Arial"/>
          <w:b/>
          <w:sz w:val="20"/>
          <w:szCs w:val="20"/>
        </w:rPr>
        <w:t xml:space="preserve">of and screening for </w:t>
      </w:r>
      <w:bookmarkStart w:id="0" w:name="_GoBack"/>
      <w:bookmarkEnd w:id="0"/>
      <w:r w:rsidR="003D71A6">
        <w:rPr>
          <w:rFonts w:cs="Arial"/>
          <w:b/>
          <w:sz w:val="20"/>
          <w:szCs w:val="20"/>
        </w:rPr>
        <w:t>diabetes in children and youth</w:t>
      </w:r>
    </w:p>
    <w:p w:rsidR="00503A41" w:rsidRPr="00503A41" w:rsidRDefault="00D34514" w:rsidP="00503A41">
      <w:pPr>
        <w:pStyle w:val="ListParagraph"/>
        <w:numPr>
          <w:ilvl w:val="3"/>
          <w:numId w:val="1"/>
        </w:num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Commencement of </w:t>
      </w:r>
      <w:r w:rsidR="00503A41" w:rsidRPr="006D1678">
        <w:rPr>
          <w:rFonts w:cs="Arial"/>
          <w:sz w:val="20"/>
          <w:szCs w:val="20"/>
        </w:rPr>
        <w:t xml:space="preserve">PANDORA Wave 2 </w:t>
      </w:r>
      <w:r>
        <w:rPr>
          <w:rFonts w:cs="Arial"/>
          <w:sz w:val="20"/>
          <w:szCs w:val="20"/>
        </w:rPr>
        <w:t>in November 2019. PANDORA WAVE 2</w:t>
      </w:r>
      <w:r w:rsidR="00503A41" w:rsidRPr="006D1678">
        <w:rPr>
          <w:rFonts w:cs="Arial"/>
          <w:sz w:val="20"/>
          <w:szCs w:val="20"/>
        </w:rPr>
        <w:t xml:space="preserve"> will engage mothers and their children (aged 6-10 years</w:t>
      </w:r>
      <w:r>
        <w:rPr>
          <w:rFonts w:cs="Arial"/>
          <w:sz w:val="20"/>
          <w:szCs w:val="20"/>
        </w:rPr>
        <w:t xml:space="preserve">) </w:t>
      </w:r>
      <w:r w:rsidR="00503A41" w:rsidRPr="006D1678">
        <w:rPr>
          <w:rFonts w:cs="Arial"/>
          <w:sz w:val="20"/>
          <w:szCs w:val="20"/>
        </w:rPr>
        <w:t xml:space="preserve">and will run until 2023. </w:t>
      </w:r>
    </w:p>
    <w:p w:rsidR="00CB7ADF" w:rsidRPr="006D1678" w:rsidRDefault="00CB7ADF" w:rsidP="003007FA">
      <w:pPr>
        <w:pStyle w:val="ListParagraph"/>
        <w:numPr>
          <w:ilvl w:val="3"/>
          <w:numId w:val="1"/>
        </w:numPr>
        <w:spacing w:after="0" w:line="240" w:lineRule="auto"/>
        <w:rPr>
          <w:rFonts w:cs="Arial"/>
          <w:b/>
          <w:sz w:val="20"/>
          <w:szCs w:val="20"/>
        </w:rPr>
      </w:pPr>
      <w:r w:rsidRPr="006D1678">
        <w:rPr>
          <w:rFonts w:cs="Arial"/>
          <w:sz w:val="20"/>
          <w:szCs w:val="20"/>
        </w:rPr>
        <w:t xml:space="preserve">Support clinicians to screen for type 2 diabetes in young people </w:t>
      </w:r>
      <w:r w:rsidR="0043409A" w:rsidRPr="006D1678">
        <w:rPr>
          <w:rFonts w:cs="Arial"/>
          <w:sz w:val="20"/>
          <w:szCs w:val="20"/>
        </w:rPr>
        <w:t>10-25 years</w:t>
      </w:r>
      <w:r w:rsidRPr="006D1678">
        <w:rPr>
          <w:rFonts w:cs="Arial"/>
          <w:sz w:val="20"/>
          <w:szCs w:val="20"/>
        </w:rPr>
        <w:t xml:space="preserve"> by promoting the NT D</w:t>
      </w:r>
      <w:r w:rsidR="0043409A" w:rsidRPr="006D1678">
        <w:rPr>
          <w:rFonts w:cs="Arial"/>
          <w:sz w:val="20"/>
          <w:szCs w:val="20"/>
        </w:rPr>
        <w:t>iabetes Network’s screening recommendations</w:t>
      </w:r>
      <w:r w:rsidR="004C734F" w:rsidRPr="006D1678">
        <w:rPr>
          <w:rFonts w:cs="Arial"/>
          <w:sz w:val="20"/>
          <w:szCs w:val="20"/>
        </w:rPr>
        <w:t>;</w:t>
      </w:r>
    </w:p>
    <w:p w:rsidR="003D71A6" w:rsidRPr="003D71A6" w:rsidRDefault="00503A41" w:rsidP="003D71A6">
      <w:pPr>
        <w:pStyle w:val="ListParagraph"/>
        <w:numPr>
          <w:ilvl w:val="3"/>
          <w:numId w:val="1"/>
        </w:numPr>
        <w:spacing w:after="0" w:line="240" w:lineRule="auto"/>
        <w:rPr>
          <w:rFonts w:cs="Arial"/>
          <w:b/>
          <w:sz w:val="20"/>
          <w:szCs w:val="20"/>
        </w:rPr>
      </w:pPr>
      <w:r w:rsidRPr="006D1678">
        <w:rPr>
          <w:rFonts w:cs="Arial"/>
          <w:sz w:val="20"/>
          <w:szCs w:val="20"/>
        </w:rPr>
        <w:t>Consultations</w:t>
      </w:r>
      <w:r w:rsidR="00D34514">
        <w:rPr>
          <w:rFonts w:cs="Arial"/>
          <w:sz w:val="20"/>
          <w:szCs w:val="20"/>
        </w:rPr>
        <w:t xml:space="preserve"> are currently underway</w:t>
      </w:r>
      <w:r w:rsidRPr="006D1678">
        <w:rPr>
          <w:rFonts w:cs="Arial"/>
          <w:sz w:val="20"/>
          <w:szCs w:val="20"/>
        </w:rPr>
        <w:t xml:space="preserve"> that will inform the pilot of </w:t>
      </w:r>
      <w:r>
        <w:rPr>
          <w:rFonts w:cs="Arial"/>
          <w:sz w:val="20"/>
          <w:szCs w:val="20"/>
        </w:rPr>
        <w:t>a</w:t>
      </w:r>
      <w:r w:rsidRPr="006D167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Central Australian project based on Tribal Turning point (USA). This </w:t>
      </w:r>
      <w:r w:rsidRPr="006D1678">
        <w:rPr>
          <w:rFonts w:cs="Arial"/>
          <w:sz w:val="20"/>
          <w:szCs w:val="20"/>
        </w:rPr>
        <w:t>project aims to prevent obesity</w:t>
      </w:r>
      <w:r>
        <w:rPr>
          <w:rFonts w:cs="Arial"/>
          <w:sz w:val="20"/>
          <w:szCs w:val="20"/>
        </w:rPr>
        <w:t xml:space="preserve"> and diabetes in </w:t>
      </w:r>
      <w:r w:rsidR="003D71A6">
        <w:rPr>
          <w:rFonts w:cs="Arial"/>
          <w:sz w:val="20"/>
          <w:szCs w:val="20"/>
        </w:rPr>
        <w:t xml:space="preserve">Aboriginal </w:t>
      </w:r>
      <w:r w:rsidR="00885F54">
        <w:rPr>
          <w:rFonts w:cs="Arial"/>
          <w:sz w:val="20"/>
          <w:szCs w:val="20"/>
        </w:rPr>
        <w:t>children.</w:t>
      </w:r>
    </w:p>
    <w:p w:rsidR="003D71A6" w:rsidRPr="003D71A6" w:rsidRDefault="003D71A6" w:rsidP="003D71A6">
      <w:pPr>
        <w:pStyle w:val="ListParagraph"/>
        <w:numPr>
          <w:ilvl w:val="3"/>
          <w:numId w:val="1"/>
        </w:numPr>
        <w:spacing w:after="0" w:line="240" w:lineRule="auto"/>
        <w:rPr>
          <w:rFonts w:cs="Arial"/>
          <w:b/>
          <w:sz w:val="20"/>
          <w:szCs w:val="20"/>
        </w:rPr>
      </w:pPr>
      <w:r w:rsidRPr="003D71A6">
        <w:rPr>
          <w:rFonts w:cs="Arial"/>
          <w:sz w:val="20"/>
          <w:szCs w:val="20"/>
        </w:rPr>
        <w:t xml:space="preserve">Advocacy and urgent communication to communities, organisations and </w:t>
      </w:r>
      <w:r>
        <w:rPr>
          <w:rFonts w:cs="Arial"/>
          <w:sz w:val="20"/>
          <w:szCs w:val="20"/>
        </w:rPr>
        <w:t xml:space="preserve">government to raise awareness of the increasing rates of type 2 diabetes </w:t>
      </w:r>
      <w:r w:rsidR="009403D1">
        <w:rPr>
          <w:rFonts w:cs="Arial"/>
          <w:sz w:val="20"/>
          <w:szCs w:val="20"/>
        </w:rPr>
        <w:t>in Aboriginal youth and</w:t>
      </w:r>
      <w:r w:rsidR="00685399">
        <w:rPr>
          <w:rFonts w:cs="Arial"/>
          <w:sz w:val="20"/>
          <w:szCs w:val="20"/>
        </w:rPr>
        <w:t xml:space="preserve"> that this is intergenerational diabetes. </w:t>
      </w:r>
      <w:r w:rsidR="009403D1">
        <w:rPr>
          <w:rFonts w:cs="Arial"/>
          <w:sz w:val="20"/>
          <w:szCs w:val="20"/>
        </w:rPr>
        <w:t xml:space="preserve"> </w:t>
      </w:r>
    </w:p>
    <w:p w:rsidR="00503A41" w:rsidRPr="006D1678" w:rsidRDefault="00503A41" w:rsidP="00503A41">
      <w:pPr>
        <w:pStyle w:val="ListParagraph"/>
        <w:spacing w:after="0" w:line="240" w:lineRule="auto"/>
        <w:ind w:left="502"/>
        <w:rPr>
          <w:rFonts w:cs="Arial"/>
          <w:b/>
          <w:sz w:val="20"/>
          <w:szCs w:val="20"/>
        </w:rPr>
      </w:pPr>
    </w:p>
    <w:p w:rsidR="003F6A4F" w:rsidRPr="006D1678" w:rsidRDefault="00C93770" w:rsidP="003007FA">
      <w:pPr>
        <w:spacing w:after="0" w:line="240" w:lineRule="auto"/>
        <w:rPr>
          <w:rFonts w:cs="Arial"/>
          <w:b/>
          <w:sz w:val="20"/>
          <w:szCs w:val="20"/>
        </w:rPr>
      </w:pPr>
      <w:r w:rsidRPr="006D1678">
        <w:rPr>
          <w:rFonts w:cs="Arial"/>
          <w:b/>
          <w:sz w:val="20"/>
          <w:szCs w:val="20"/>
        </w:rPr>
        <w:t xml:space="preserve">Priority 3: </w:t>
      </w:r>
      <w:r w:rsidR="00FD4AA2" w:rsidRPr="006D1678">
        <w:rPr>
          <w:rFonts w:cs="Arial"/>
          <w:b/>
          <w:sz w:val="20"/>
          <w:szCs w:val="20"/>
        </w:rPr>
        <w:t>Managing type 2 diabetes in youth</w:t>
      </w:r>
    </w:p>
    <w:p w:rsidR="00827A8C" w:rsidRPr="006D1678" w:rsidRDefault="00FD4AA2" w:rsidP="003007FA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b/>
          <w:sz w:val="20"/>
          <w:szCs w:val="20"/>
        </w:rPr>
      </w:pPr>
      <w:r w:rsidRPr="006D1678">
        <w:rPr>
          <w:rFonts w:cs="Arial"/>
          <w:sz w:val="20"/>
          <w:szCs w:val="20"/>
        </w:rPr>
        <w:t>Development of enhanced Models of Care</w:t>
      </w:r>
      <w:r w:rsidR="00BC5AAC" w:rsidRPr="006D1678">
        <w:rPr>
          <w:rFonts w:cs="Arial"/>
          <w:sz w:val="20"/>
          <w:szCs w:val="20"/>
        </w:rPr>
        <w:t xml:space="preserve"> for yo</w:t>
      </w:r>
      <w:r w:rsidR="001A5662">
        <w:rPr>
          <w:rFonts w:cs="Arial"/>
          <w:sz w:val="20"/>
          <w:szCs w:val="20"/>
        </w:rPr>
        <w:t>ung people with type 2 diabetes (funded 2020-2022 by Commonwealth Health across NT, FNQ and WA);</w:t>
      </w:r>
    </w:p>
    <w:p w:rsidR="00BC5AAC" w:rsidRPr="006D1678" w:rsidRDefault="00BC5AAC" w:rsidP="003007FA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b/>
          <w:sz w:val="20"/>
          <w:szCs w:val="20"/>
        </w:rPr>
      </w:pPr>
      <w:r w:rsidRPr="006D1678">
        <w:rPr>
          <w:rFonts w:cs="Arial"/>
          <w:sz w:val="20"/>
          <w:szCs w:val="20"/>
        </w:rPr>
        <w:t>Opportunity to also address preconception planning and healthy pregnancies while working w</w:t>
      </w:r>
      <w:r w:rsidR="00340541" w:rsidRPr="006D1678">
        <w:rPr>
          <w:rFonts w:cs="Arial"/>
          <w:sz w:val="20"/>
          <w:szCs w:val="20"/>
        </w:rPr>
        <w:t xml:space="preserve">ith young people with diabetes and thus reduce </w:t>
      </w:r>
      <w:r w:rsidR="003D71A6">
        <w:rPr>
          <w:rFonts w:cs="Arial"/>
          <w:sz w:val="20"/>
          <w:szCs w:val="20"/>
        </w:rPr>
        <w:t xml:space="preserve">the </w:t>
      </w:r>
      <w:r w:rsidR="00340541" w:rsidRPr="006D1678">
        <w:rPr>
          <w:rFonts w:cs="Arial"/>
          <w:sz w:val="20"/>
          <w:szCs w:val="20"/>
        </w:rPr>
        <w:t>risk of intergenerational diabetes.</w:t>
      </w:r>
    </w:p>
    <w:p w:rsidR="00C93770" w:rsidRPr="006D1678" w:rsidRDefault="00C93770" w:rsidP="003007FA">
      <w:pPr>
        <w:spacing w:after="0" w:line="240" w:lineRule="auto"/>
        <w:rPr>
          <w:rFonts w:cs="Arial"/>
          <w:sz w:val="20"/>
          <w:szCs w:val="20"/>
        </w:rPr>
      </w:pPr>
    </w:p>
    <w:p w:rsidR="00C93770" w:rsidRPr="006D1678" w:rsidRDefault="00C93770" w:rsidP="003007FA">
      <w:pPr>
        <w:spacing w:after="0" w:line="240" w:lineRule="auto"/>
        <w:rPr>
          <w:rFonts w:cs="Arial"/>
          <w:b/>
          <w:sz w:val="20"/>
          <w:szCs w:val="20"/>
        </w:rPr>
      </w:pPr>
      <w:r w:rsidRPr="006D1678">
        <w:rPr>
          <w:rFonts w:cs="Arial"/>
          <w:b/>
          <w:sz w:val="20"/>
          <w:szCs w:val="20"/>
        </w:rPr>
        <w:t>The Partnership’s work</w:t>
      </w:r>
      <w:r w:rsidR="005D5A94" w:rsidRPr="006D1678">
        <w:rPr>
          <w:rFonts w:cs="Arial"/>
          <w:b/>
          <w:sz w:val="20"/>
          <w:szCs w:val="20"/>
        </w:rPr>
        <w:t xml:space="preserve"> continues to be underpinned by: </w:t>
      </w:r>
    </w:p>
    <w:p w:rsidR="00A77650" w:rsidRPr="006D1678" w:rsidRDefault="00C93770" w:rsidP="003007F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</w:rPr>
      </w:pPr>
      <w:r w:rsidRPr="006D1678">
        <w:rPr>
          <w:rFonts w:cs="Arial"/>
          <w:sz w:val="20"/>
          <w:szCs w:val="20"/>
        </w:rPr>
        <w:t xml:space="preserve">Acknowledgement of </w:t>
      </w:r>
      <w:r w:rsidR="00A77650" w:rsidRPr="006D1678">
        <w:rPr>
          <w:rFonts w:cs="Arial"/>
          <w:sz w:val="20"/>
          <w:szCs w:val="20"/>
        </w:rPr>
        <w:t xml:space="preserve">the </w:t>
      </w:r>
      <w:r w:rsidR="003D71A6">
        <w:rPr>
          <w:rFonts w:cs="Arial"/>
          <w:sz w:val="20"/>
          <w:szCs w:val="20"/>
        </w:rPr>
        <w:t xml:space="preserve">important </w:t>
      </w:r>
      <w:r w:rsidR="00A77650" w:rsidRPr="006D1678">
        <w:rPr>
          <w:rFonts w:cs="Arial"/>
          <w:sz w:val="20"/>
          <w:szCs w:val="20"/>
        </w:rPr>
        <w:t>contribution</w:t>
      </w:r>
      <w:r w:rsidR="00685399">
        <w:rPr>
          <w:rFonts w:cs="Arial"/>
          <w:sz w:val="20"/>
          <w:szCs w:val="20"/>
        </w:rPr>
        <w:t>s</w:t>
      </w:r>
      <w:r w:rsidR="00A77650" w:rsidRPr="006D1678">
        <w:rPr>
          <w:rFonts w:cs="Arial"/>
          <w:sz w:val="20"/>
          <w:szCs w:val="20"/>
        </w:rPr>
        <w:t xml:space="preserve"> of the Indigenous Reference Group and the</w:t>
      </w:r>
      <w:r w:rsidR="000066CB" w:rsidRPr="006D1678">
        <w:rPr>
          <w:rFonts w:cs="Arial"/>
          <w:sz w:val="20"/>
          <w:szCs w:val="20"/>
        </w:rPr>
        <w:t xml:space="preserve"> group’s</w:t>
      </w:r>
      <w:r w:rsidR="00A77650" w:rsidRPr="006D1678">
        <w:rPr>
          <w:rFonts w:cs="Arial"/>
          <w:sz w:val="20"/>
          <w:szCs w:val="20"/>
        </w:rPr>
        <w:t xml:space="preserve"> work around Indigenous Knowledges and sovereignty</w:t>
      </w:r>
      <w:r w:rsidR="004C734F" w:rsidRPr="006D1678">
        <w:rPr>
          <w:rFonts w:cs="Arial"/>
          <w:sz w:val="20"/>
          <w:szCs w:val="20"/>
        </w:rPr>
        <w:t>;</w:t>
      </w:r>
    </w:p>
    <w:p w:rsidR="00A77650" w:rsidRPr="006D1678" w:rsidRDefault="00A77650" w:rsidP="003007F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</w:rPr>
      </w:pPr>
      <w:r w:rsidRPr="006D1678">
        <w:rPr>
          <w:rFonts w:cs="Arial"/>
          <w:sz w:val="20"/>
          <w:szCs w:val="20"/>
        </w:rPr>
        <w:t xml:space="preserve">Building on existing human resources and opportunities (using immunisation checks for babies to also check in on mothers, skilling up existing staff, working </w:t>
      </w:r>
      <w:r w:rsidR="000066CB" w:rsidRPr="006D1678">
        <w:rPr>
          <w:rFonts w:cs="Arial"/>
          <w:sz w:val="20"/>
          <w:szCs w:val="20"/>
        </w:rPr>
        <w:t xml:space="preserve">proactively </w:t>
      </w:r>
      <w:r w:rsidRPr="006D1678">
        <w:rPr>
          <w:rFonts w:cs="Arial"/>
          <w:sz w:val="20"/>
          <w:szCs w:val="20"/>
        </w:rPr>
        <w:t>with Partnership champions to distribute resources)</w:t>
      </w:r>
      <w:r w:rsidR="004C734F" w:rsidRPr="006D1678">
        <w:rPr>
          <w:rFonts w:cs="Arial"/>
          <w:sz w:val="20"/>
          <w:szCs w:val="20"/>
        </w:rPr>
        <w:t>;</w:t>
      </w:r>
    </w:p>
    <w:p w:rsidR="004C734F" w:rsidRPr="006D1678" w:rsidRDefault="004C734F" w:rsidP="003007F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</w:rPr>
      </w:pPr>
      <w:r w:rsidRPr="006D1678">
        <w:rPr>
          <w:rFonts w:cs="Arial"/>
          <w:sz w:val="20"/>
          <w:szCs w:val="20"/>
        </w:rPr>
        <w:t xml:space="preserve">Continuing to learn from other successful programs and approaches; </w:t>
      </w:r>
    </w:p>
    <w:p w:rsidR="00B956D5" w:rsidRPr="006D1678" w:rsidRDefault="00B956D5" w:rsidP="003007F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</w:rPr>
      </w:pPr>
      <w:r w:rsidRPr="006D1678">
        <w:rPr>
          <w:rFonts w:cs="Arial"/>
          <w:sz w:val="20"/>
          <w:szCs w:val="20"/>
        </w:rPr>
        <w:t>Recognising the contributions of the Indigenous workforce in the Partnership’</w:t>
      </w:r>
      <w:r w:rsidR="005D5A94" w:rsidRPr="006D1678">
        <w:rPr>
          <w:rFonts w:cs="Arial"/>
          <w:sz w:val="20"/>
          <w:szCs w:val="20"/>
        </w:rPr>
        <w:t>s work and continued</w:t>
      </w:r>
      <w:r w:rsidRPr="006D1678">
        <w:rPr>
          <w:rFonts w:cs="Arial"/>
          <w:sz w:val="20"/>
          <w:szCs w:val="20"/>
        </w:rPr>
        <w:t xml:space="preserve"> investment in skills development and supporting Indigenous leadership</w:t>
      </w:r>
      <w:r w:rsidR="004C734F" w:rsidRPr="006D1678">
        <w:rPr>
          <w:rFonts w:cs="Arial"/>
          <w:sz w:val="20"/>
          <w:szCs w:val="20"/>
        </w:rPr>
        <w:t>;</w:t>
      </w:r>
    </w:p>
    <w:p w:rsidR="00BD408B" w:rsidRPr="006D1678" w:rsidRDefault="00CB4F8A" w:rsidP="003007F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</w:rPr>
      </w:pPr>
      <w:r w:rsidRPr="006D1678">
        <w:rPr>
          <w:rFonts w:cs="Arial"/>
          <w:sz w:val="20"/>
          <w:szCs w:val="20"/>
        </w:rPr>
        <w:t xml:space="preserve">Acknowledging the importance of </w:t>
      </w:r>
      <w:r w:rsidR="001A5662">
        <w:rPr>
          <w:rFonts w:cs="Arial"/>
          <w:sz w:val="20"/>
          <w:szCs w:val="20"/>
        </w:rPr>
        <w:t xml:space="preserve">healthy </w:t>
      </w:r>
      <w:r w:rsidRPr="006D1678">
        <w:rPr>
          <w:rFonts w:cs="Arial"/>
          <w:sz w:val="20"/>
          <w:szCs w:val="20"/>
        </w:rPr>
        <w:t>settings approaches</w:t>
      </w:r>
      <w:r w:rsidR="00387977" w:rsidRPr="006D1678">
        <w:rPr>
          <w:rFonts w:cs="Arial"/>
          <w:sz w:val="20"/>
          <w:szCs w:val="20"/>
        </w:rPr>
        <w:t>,</w:t>
      </w:r>
      <w:r w:rsidRPr="006D1678">
        <w:rPr>
          <w:rFonts w:cs="Arial"/>
          <w:sz w:val="20"/>
          <w:szCs w:val="20"/>
        </w:rPr>
        <w:t xml:space="preserve"> the social determinants of health and the need for multi-pronged approaches</w:t>
      </w:r>
      <w:r w:rsidR="00B956D5" w:rsidRPr="006D1678">
        <w:rPr>
          <w:rFonts w:cs="Arial"/>
          <w:sz w:val="20"/>
          <w:szCs w:val="20"/>
        </w:rPr>
        <w:t>.</w:t>
      </w:r>
      <w:r w:rsidRPr="006D1678">
        <w:rPr>
          <w:rFonts w:cs="Arial"/>
          <w:sz w:val="20"/>
          <w:szCs w:val="20"/>
        </w:rPr>
        <w:t xml:space="preserve"> </w:t>
      </w:r>
    </w:p>
    <w:p w:rsidR="004C734F" w:rsidRPr="006D1678" w:rsidRDefault="004C734F" w:rsidP="004C734F">
      <w:pPr>
        <w:pStyle w:val="ListParagraph"/>
        <w:spacing w:after="0" w:line="240" w:lineRule="auto"/>
        <w:ind w:left="502"/>
        <w:rPr>
          <w:rFonts w:ascii="Arial" w:hAnsi="Arial" w:cs="Arial"/>
          <w:sz w:val="20"/>
        </w:rPr>
      </w:pPr>
    </w:p>
    <w:sectPr w:rsidR="004C734F" w:rsidRPr="006D1678" w:rsidSect="001778CC">
      <w:headerReference w:type="default" r:id="rId7"/>
      <w:pgSz w:w="11906" w:h="16838"/>
      <w:pgMar w:top="273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AA2" w:rsidRDefault="00FD4AA2" w:rsidP="00FD4AA2">
      <w:pPr>
        <w:spacing w:after="0" w:line="240" w:lineRule="auto"/>
      </w:pPr>
      <w:r>
        <w:separator/>
      </w:r>
    </w:p>
  </w:endnote>
  <w:endnote w:type="continuationSeparator" w:id="0">
    <w:p w:rsidR="00FD4AA2" w:rsidRDefault="00FD4AA2" w:rsidP="00FD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AA2" w:rsidRDefault="00FD4AA2" w:rsidP="00FD4AA2">
      <w:pPr>
        <w:spacing w:after="0" w:line="240" w:lineRule="auto"/>
      </w:pPr>
      <w:r>
        <w:separator/>
      </w:r>
    </w:p>
  </w:footnote>
  <w:footnote w:type="continuationSeparator" w:id="0">
    <w:p w:rsidR="00FD4AA2" w:rsidRDefault="00FD4AA2" w:rsidP="00FD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AA2" w:rsidRDefault="00FD4AA2" w:rsidP="00FD4AA2">
    <w:pPr>
      <w:pStyle w:val="Header"/>
      <w:tabs>
        <w:tab w:val="clear" w:pos="9026"/>
        <w:tab w:val="left" w:pos="426"/>
      </w:tabs>
      <w:ind w:left="-426" w:right="-472" w:firstLine="142"/>
    </w:pPr>
    <w:r>
      <w:rPr>
        <w:noProof/>
      </w:rPr>
      <w:drawing>
        <wp:inline distT="0" distB="0" distL="0" distR="0" wp14:anchorId="627DAD15" wp14:editId="0A65F385">
          <wp:extent cx="685800" cy="536906"/>
          <wp:effectExtent l="0" t="0" r="0" b="0"/>
          <wp:docPr id="15" name="Picture 15" descr="M:\Preventable And Chronic\DIP\^Partnership-wide\Logos\Logo AMS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Preventable And Chronic\DIP\^Partnership-wide\Logos\Logo AMS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5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043BF695" wp14:editId="0B6F6DA0">
          <wp:extent cx="966999" cy="468000"/>
          <wp:effectExtent l="0" t="0" r="5080" b="0"/>
          <wp:docPr id="16" name="Picture 16" descr="M:\Preventable And Chronic\DIP\^Partnership-wide\Logos\Menzies_RGB transpe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Preventable And Chronic\DIP\^Partnership-wide\Logos\Menzies_RGB transpera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999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CCD4F24" wp14:editId="7B6204DF">
          <wp:extent cx="1031739" cy="540000"/>
          <wp:effectExtent l="0" t="0" r="0" b="0"/>
          <wp:docPr id="17" name="Picture 17" descr="M:\Preventable And Chronic\DIP\^Partnership-wide\Logos\Baker_logo_landscape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Preventable And Chronic\DIP\^Partnership-wide\Logos\Baker_logo_landscape_colour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73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7A61D552" wp14:editId="1641A3CD">
          <wp:extent cx="741000" cy="468000"/>
          <wp:effectExtent l="0" t="0" r="2540" b="8255"/>
          <wp:docPr id="25" name="Picture 25" descr="M:\Preventable And Chronic\DIP\^Partnership-wide\Logos\Logo Healthy Living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:\Preventable And Chronic\DIP\^Partnership-wide\Logos\Logo Healthy Living 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</w:t>
    </w:r>
    <w:r>
      <w:rPr>
        <w:noProof/>
      </w:rPr>
      <w:drawing>
        <wp:inline distT="0" distB="0" distL="0" distR="0" wp14:anchorId="6F35B06F" wp14:editId="79BE7EAB">
          <wp:extent cx="1213200" cy="432000"/>
          <wp:effectExtent l="0" t="0" r="6350" b="6350"/>
          <wp:docPr id="26" name="Picture 26" descr="M:\Preventable And Chronic\DIP\^Partnership-wide\Logos\SAHM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:\Preventable And Chronic\DIP\^Partnership-wide\Logos\SAHMRI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t xml:space="preserve">   </w:t>
    </w:r>
    <w:r>
      <w:rPr>
        <w:noProof/>
      </w:rPr>
      <w:drawing>
        <wp:inline distT="0" distB="0" distL="0" distR="0" wp14:anchorId="1C0E58FD" wp14:editId="6D78A6EB">
          <wp:extent cx="1009650" cy="435636"/>
          <wp:effectExtent l="0" t="0" r="0" b="2540"/>
          <wp:docPr id="27" name="Picture 27" descr="M:\Preventable And Chronic\DIP\^Partnership-wide\Logos\^NTG-supported-LOGO 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:\Preventable And Chronic\DIP\^Partnership-wide\Logos\^NTG-supported-LOGO -rgb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AA2" w:rsidRDefault="001778CC" w:rsidP="00FD4AA2">
    <w:pPr>
      <w:pStyle w:val="Header"/>
      <w:tabs>
        <w:tab w:val="clear" w:pos="9026"/>
        <w:tab w:val="left" w:pos="426"/>
      </w:tabs>
      <w:ind w:left="-426" w:right="-472" w:firstLine="568"/>
    </w:pPr>
    <w:r>
      <w:rPr>
        <w:noProof/>
      </w:rPr>
      <w:drawing>
        <wp:inline distT="0" distB="0" distL="0" distR="0">
          <wp:extent cx="904375" cy="639354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tnorth_finallogo-01 (2)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173" cy="642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76300" cy="698294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Apunipima Logo-01 (2)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674" cy="708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42925" cy="677218"/>
          <wp:effectExtent l="0" t="0" r="0" b="889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eensland Health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097" cy="68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AA2" w:rsidRDefault="00FD4AA2" w:rsidP="00FD4AA2">
    <w:pPr>
      <w:pStyle w:val="Header"/>
    </w:pPr>
  </w:p>
  <w:p w:rsidR="00764567" w:rsidRDefault="00534161" w:rsidP="0049691F">
    <w:pPr>
      <w:pStyle w:val="Header"/>
      <w:tabs>
        <w:tab w:val="clear" w:pos="9026"/>
        <w:tab w:val="left" w:pos="426"/>
      </w:tabs>
      <w:ind w:left="-426" w:right="-472" w:firstLine="142"/>
    </w:pPr>
  </w:p>
  <w:p w:rsidR="00764567" w:rsidRDefault="00534161" w:rsidP="00764567">
    <w:pPr>
      <w:pStyle w:val="Header"/>
      <w:tabs>
        <w:tab w:val="clear" w:pos="9026"/>
        <w:tab w:val="left" w:pos="426"/>
      </w:tabs>
      <w:ind w:left="-426" w:right="-472" w:firstLine="568"/>
    </w:pPr>
  </w:p>
  <w:p w:rsidR="00764567" w:rsidRDefault="00534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22F6"/>
    <w:multiLevelType w:val="hybridMultilevel"/>
    <w:tmpl w:val="8D34A8A0"/>
    <w:lvl w:ilvl="0" w:tplc="30663E4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ADF5BB2"/>
    <w:multiLevelType w:val="hybridMultilevel"/>
    <w:tmpl w:val="47D63530"/>
    <w:lvl w:ilvl="0" w:tplc="0C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7243026"/>
    <w:multiLevelType w:val="hybridMultilevel"/>
    <w:tmpl w:val="B178BBFE"/>
    <w:lvl w:ilvl="0" w:tplc="1B723358">
      <w:start w:val="1"/>
      <w:numFmt w:val="lowerLetter"/>
      <w:lvlText w:val="%1.)"/>
      <w:lvlJc w:val="left"/>
      <w:pPr>
        <w:ind w:left="720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A7097"/>
    <w:multiLevelType w:val="hybridMultilevel"/>
    <w:tmpl w:val="F1B41326"/>
    <w:lvl w:ilvl="0" w:tplc="2528C140">
      <w:start w:val="1"/>
      <w:numFmt w:val="decimal"/>
      <w:lvlText w:val="%1."/>
      <w:lvlJc w:val="right"/>
      <w:pPr>
        <w:ind w:left="357" w:hanging="360"/>
      </w:pPr>
      <w:rPr>
        <w:rFonts w:ascii="Arial" w:eastAsiaTheme="minorHAnsi" w:hAnsi="Arial" w:cs="Arial"/>
      </w:rPr>
    </w:lvl>
    <w:lvl w:ilvl="1" w:tplc="0C090017">
      <w:start w:val="1"/>
      <w:numFmt w:val="lowerLetter"/>
      <w:lvlText w:val="%2)"/>
      <w:lvlJc w:val="left"/>
      <w:pPr>
        <w:ind w:left="502" w:hanging="360"/>
      </w:pPr>
    </w:lvl>
    <w:lvl w:ilvl="2" w:tplc="154AF818">
      <w:start w:val="1"/>
      <w:numFmt w:val="lowerLetter"/>
      <w:lvlText w:val="%3.)"/>
      <w:lvlJc w:val="left"/>
      <w:pPr>
        <w:ind w:left="1977" w:hanging="360"/>
      </w:pPr>
      <w:rPr>
        <w:rFonts w:hint="default"/>
      </w:rPr>
    </w:lvl>
    <w:lvl w:ilvl="3" w:tplc="171269FA">
      <w:start w:val="1"/>
      <w:numFmt w:val="lowerLetter"/>
      <w:lvlText w:val="%4)"/>
      <w:lvlJc w:val="left"/>
      <w:pPr>
        <w:ind w:left="502" w:hanging="360"/>
      </w:pPr>
      <w:rPr>
        <w:rFonts w:hint="default"/>
        <w:b w:val="0"/>
      </w:rPr>
    </w:lvl>
    <w:lvl w:ilvl="4" w:tplc="0C090019" w:tentative="1">
      <w:start w:val="1"/>
      <w:numFmt w:val="lowerLetter"/>
      <w:lvlText w:val="%5."/>
      <w:lvlJc w:val="left"/>
      <w:pPr>
        <w:ind w:left="3237" w:hanging="360"/>
      </w:pPr>
    </w:lvl>
    <w:lvl w:ilvl="5" w:tplc="0C09001B" w:tentative="1">
      <w:start w:val="1"/>
      <w:numFmt w:val="lowerRoman"/>
      <w:lvlText w:val="%6."/>
      <w:lvlJc w:val="right"/>
      <w:pPr>
        <w:ind w:left="3957" w:hanging="180"/>
      </w:pPr>
    </w:lvl>
    <w:lvl w:ilvl="6" w:tplc="0C09000F" w:tentative="1">
      <w:start w:val="1"/>
      <w:numFmt w:val="decimal"/>
      <w:lvlText w:val="%7."/>
      <w:lvlJc w:val="left"/>
      <w:pPr>
        <w:ind w:left="4677" w:hanging="360"/>
      </w:pPr>
    </w:lvl>
    <w:lvl w:ilvl="7" w:tplc="0C090019" w:tentative="1">
      <w:start w:val="1"/>
      <w:numFmt w:val="lowerLetter"/>
      <w:lvlText w:val="%8."/>
      <w:lvlJc w:val="left"/>
      <w:pPr>
        <w:ind w:left="5397" w:hanging="360"/>
      </w:pPr>
    </w:lvl>
    <w:lvl w:ilvl="8" w:tplc="0C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56E00593"/>
    <w:multiLevelType w:val="hybridMultilevel"/>
    <w:tmpl w:val="B082F696"/>
    <w:lvl w:ilvl="0" w:tplc="7C622034">
      <w:start w:val="1"/>
      <w:numFmt w:val="decimal"/>
      <w:lvlText w:val="%1."/>
      <w:lvlJc w:val="right"/>
      <w:pPr>
        <w:ind w:left="357" w:hanging="360"/>
      </w:pPr>
      <w:rPr>
        <w:rFonts w:ascii="Arial" w:eastAsiaTheme="minorHAnsi" w:hAnsi="Arial" w:cs="Arial"/>
      </w:rPr>
    </w:lvl>
    <w:lvl w:ilvl="1" w:tplc="41607A4A">
      <w:start w:val="1"/>
      <w:numFmt w:val="decimal"/>
      <w:lvlText w:val="%2."/>
      <w:lvlJc w:val="left"/>
      <w:pPr>
        <w:ind w:left="1077" w:hanging="360"/>
      </w:pPr>
      <w:rPr>
        <w:rFonts w:ascii="Arial" w:eastAsiaTheme="minorHAnsi" w:hAnsi="Arial" w:cs="Arial"/>
      </w:rPr>
    </w:lvl>
    <w:lvl w:ilvl="2" w:tplc="0C09001B" w:tentative="1">
      <w:start w:val="1"/>
      <w:numFmt w:val="lowerRoman"/>
      <w:lvlText w:val="%3."/>
      <w:lvlJc w:val="right"/>
      <w:pPr>
        <w:ind w:left="1797" w:hanging="180"/>
      </w:pPr>
    </w:lvl>
    <w:lvl w:ilvl="3" w:tplc="0C09000F" w:tentative="1">
      <w:start w:val="1"/>
      <w:numFmt w:val="decimal"/>
      <w:lvlText w:val="%4."/>
      <w:lvlJc w:val="left"/>
      <w:pPr>
        <w:ind w:left="2517" w:hanging="360"/>
      </w:pPr>
    </w:lvl>
    <w:lvl w:ilvl="4" w:tplc="0C090019" w:tentative="1">
      <w:start w:val="1"/>
      <w:numFmt w:val="lowerLetter"/>
      <w:lvlText w:val="%5."/>
      <w:lvlJc w:val="left"/>
      <w:pPr>
        <w:ind w:left="3237" w:hanging="360"/>
      </w:pPr>
    </w:lvl>
    <w:lvl w:ilvl="5" w:tplc="0C09001B" w:tentative="1">
      <w:start w:val="1"/>
      <w:numFmt w:val="lowerRoman"/>
      <w:lvlText w:val="%6."/>
      <w:lvlJc w:val="right"/>
      <w:pPr>
        <w:ind w:left="3957" w:hanging="180"/>
      </w:pPr>
    </w:lvl>
    <w:lvl w:ilvl="6" w:tplc="0C09000F" w:tentative="1">
      <w:start w:val="1"/>
      <w:numFmt w:val="decimal"/>
      <w:lvlText w:val="%7."/>
      <w:lvlJc w:val="left"/>
      <w:pPr>
        <w:ind w:left="4677" w:hanging="360"/>
      </w:pPr>
    </w:lvl>
    <w:lvl w:ilvl="7" w:tplc="0C090019" w:tentative="1">
      <w:start w:val="1"/>
      <w:numFmt w:val="lowerLetter"/>
      <w:lvlText w:val="%8."/>
      <w:lvlJc w:val="left"/>
      <w:pPr>
        <w:ind w:left="5397" w:hanging="360"/>
      </w:pPr>
    </w:lvl>
    <w:lvl w:ilvl="8" w:tplc="0C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77EA1AFF"/>
    <w:multiLevelType w:val="hybridMultilevel"/>
    <w:tmpl w:val="D96E0836"/>
    <w:lvl w:ilvl="0" w:tplc="2528C140">
      <w:start w:val="1"/>
      <w:numFmt w:val="decimal"/>
      <w:lvlText w:val="%1."/>
      <w:lvlJc w:val="right"/>
      <w:pPr>
        <w:ind w:left="357" w:hanging="360"/>
      </w:pPr>
      <w:rPr>
        <w:rFonts w:ascii="Arial" w:eastAsiaTheme="minorHAnsi" w:hAnsi="Arial" w:cs="Arial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154AF818">
      <w:start w:val="1"/>
      <w:numFmt w:val="lowerLetter"/>
      <w:lvlText w:val="%3.)"/>
      <w:lvlJc w:val="left"/>
      <w:pPr>
        <w:ind w:left="1977" w:hanging="360"/>
      </w:pPr>
      <w:rPr>
        <w:rFonts w:hint="default"/>
      </w:rPr>
    </w:lvl>
    <w:lvl w:ilvl="3" w:tplc="0C090017">
      <w:start w:val="1"/>
      <w:numFmt w:val="lowerLetter"/>
      <w:lvlText w:val="%4)"/>
      <w:lvlJc w:val="left"/>
      <w:pPr>
        <w:ind w:left="2517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237" w:hanging="360"/>
      </w:pPr>
    </w:lvl>
    <w:lvl w:ilvl="5" w:tplc="0C09001B" w:tentative="1">
      <w:start w:val="1"/>
      <w:numFmt w:val="lowerRoman"/>
      <w:lvlText w:val="%6."/>
      <w:lvlJc w:val="right"/>
      <w:pPr>
        <w:ind w:left="3957" w:hanging="180"/>
      </w:pPr>
    </w:lvl>
    <w:lvl w:ilvl="6" w:tplc="0C09000F" w:tentative="1">
      <w:start w:val="1"/>
      <w:numFmt w:val="decimal"/>
      <w:lvlText w:val="%7."/>
      <w:lvlJc w:val="left"/>
      <w:pPr>
        <w:ind w:left="4677" w:hanging="360"/>
      </w:pPr>
    </w:lvl>
    <w:lvl w:ilvl="7" w:tplc="0C090019" w:tentative="1">
      <w:start w:val="1"/>
      <w:numFmt w:val="lowerLetter"/>
      <w:lvlText w:val="%8."/>
      <w:lvlJc w:val="left"/>
      <w:pPr>
        <w:ind w:left="5397" w:hanging="360"/>
      </w:pPr>
    </w:lvl>
    <w:lvl w:ilvl="8" w:tplc="0C0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A2"/>
    <w:rsid w:val="000066CB"/>
    <w:rsid w:val="00100D68"/>
    <w:rsid w:val="00113FA8"/>
    <w:rsid w:val="001745ED"/>
    <w:rsid w:val="001778CC"/>
    <w:rsid w:val="00183A30"/>
    <w:rsid w:val="001A5662"/>
    <w:rsid w:val="001D0CC0"/>
    <w:rsid w:val="00273BAD"/>
    <w:rsid w:val="003007FA"/>
    <w:rsid w:val="00340541"/>
    <w:rsid w:val="00342C14"/>
    <w:rsid w:val="00387977"/>
    <w:rsid w:val="003C1F2F"/>
    <w:rsid w:val="003D71A6"/>
    <w:rsid w:val="003E4FDD"/>
    <w:rsid w:val="003F6A4F"/>
    <w:rsid w:val="0043409A"/>
    <w:rsid w:val="004809C3"/>
    <w:rsid w:val="004C2DB0"/>
    <w:rsid w:val="004C734F"/>
    <w:rsid w:val="00503A41"/>
    <w:rsid w:val="00534161"/>
    <w:rsid w:val="005A6408"/>
    <w:rsid w:val="005D5A94"/>
    <w:rsid w:val="00685399"/>
    <w:rsid w:val="006D1678"/>
    <w:rsid w:val="006F382D"/>
    <w:rsid w:val="0077434E"/>
    <w:rsid w:val="00777D2E"/>
    <w:rsid w:val="00783AC3"/>
    <w:rsid w:val="00827A8C"/>
    <w:rsid w:val="00885F54"/>
    <w:rsid w:val="009403D1"/>
    <w:rsid w:val="00970744"/>
    <w:rsid w:val="009A439E"/>
    <w:rsid w:val="009B2580"/>
    <w:rsid w:val="00A77650"/>
    <w:rsid w:val="00AA5394"/>
    <w:rsid w:val="00B77C0E"/>
    <w:rsid w:val="00B956D5"/>
    <w:rsid w:val="00B972B3"/>
    <w:rsid w:val="00BC5AAC"/>
    <w:rsid w:val="00BD408B"/>
    <w:rsid w:val="00BF02D0"/>
    <w:rsid w:val="00C314A4"/>
    <w:rsid w:val="00C6083B"/>
    <w:rsid w:val="00C93770"/>
    <w:rsid w:val="00CA53C2"/>
    <w:rsid w:val="00CB4F8A"/>
    <w:rsid w:val="00CB7ADF"/>
    <w:rsid w:val="00CD78ED"/>
    <w:rsid w:val="00D34514"/>
    <w:rsid w:val="00DE44FA"/>
    <w:rsid w:val="00EB1FD3"/>
    <w:rsid w:val="00EC3CB6"/>
    <w:rsid w:val="00F748CF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F99A525"/>
  <w15:docId w15:val="{053CC5C6-2B87-477E-BD76-E3FE8D71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A2"/>
  </w:style>
  <w:style w:type="paragraph" w:styleId="BalloonText">
    <w:name w:val="Balloon Text"/>
    <w:basedOn w:val="Normal"/>
    <w:link w:val="BalloonTextChar"/>
    <w:uiPriority w:val="99"/>
    <w:semiHidden/>
    <w:unhideWhenUsed/>
    <w:rsid w:val="00FD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D4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Tara Dias</cp:lastModifiedBy>
  <cp:revision>11</cp:revision>
  <cp:lastPrinted>2019-11-04T23:59:00Z</cp:lastPrinted>
  <dcterms:created xsi:type="dcterms:W3CDTF">2019-10-31T23:36:00Z</dcterms:created>
  <dcterms:modified xsi:type="dcterms:W3CDTF">2020-03-30T02:15:00Z</dcterms:modified>
</cp:coreProperties>
</file>